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</w:t>
      </w:r>
      <w:bookmarkStart w:id="0" w:name="_GoBack"/>
      <w:r>
        <w:rPr>
          <w:rFonts w:ascii="Calibri" w:hAnsi="Calibri" w:cs="Calibri"/>
          <w:b/>
          <w:bCs/>
        </w:rPr>
        <w:t>13 июля 2015 г. N 12-59/16226</w:t>
      </w:r>
      <w:bookmarkEnd w:id="0"/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 рассмотрело запрос об отнесении жидких фракций, выкачиваемых из выгребных ям, к жидким бытовым отходам или сточным водам и сообщает.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24 июня 1998 г. N 89-ФЗ "Об отходах производства и потребления" под отходами производства и потребления (далее - отходы)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пункту 19 статьи 1</w:t>
        </w:r>
      </w:hyperlink>
      <w:r>
        <w:rPr>
          <w:rFonts w:ascii="Calibri" w:hAnsi="Calibri" w:cs="Calibri"/>
        </w:rPr>
        <w:t xml:space="preserve"> Водного кодекса Российской Федерации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отнесение жидких фракций, выкачиваемых из выгребных ям, к сточным водам или отходам зависит от способа их удаления.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жидкие фракции, выкачиваемые из выгребных ям, удаляются путем отведения в водные объекты после соответствующей очистки, их следует считать сточными водами и обращение с ними будет регулироваться нормами водного законодательства.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такие фракции удаляются иным способом, исключающим их сброс в водные объекты, такие стоки не подпадают под определение сточных вод в терминологии Водного кодекса Российской Федерации и их следует считать жидкими отходами, дальнейшее обращение с которыми должно осуществляться в соответствии с законодательством об отходах производства и потребления.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Д.М.БЕЛАНОВИЧ</w:t>
      </w: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54B" w:rsidRDefault="002B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54B" w:rsidRDefault="002B75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 w:rsidSect="0095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B"/>
    <w:rsid w:val="002B754B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6933-4663-409C-BA50-80643D8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BAE665D7D1B46DDBFF1E2859D8A0F490638952FBC1E6E43EFBE819F57FCCF0A255C5E270v9D" TargetMode="External"/><Relationship Id="rId4" Type="http://schemas.openxmlformats.org/officeDocument/2006/relationships/hyperlink" Target="consultantplus://offline/ref=32BAE665D7D1B46DDBFF1E2859D8A0F4906C885DF7C3E6E43EFBE819F57FCCF0A255C5E50F7C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2015-07-29T03:47:00Z</dcterms:created>
  <dcterms:modified xsi:type="dcterms:W3CDTF">2015-07-29T03:48:00Z</dcterms:modified>
</cp:coreProperties>
</file>